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  <w:t>萨罕乡服务基层人员补助项目绩效自评表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萨罕乡位于英吉沙县以东13.7公里处，地理位置东经76°19′，北纬38°56′，境内海拔高度1264米，地势呈西南高、东北低，东西长60公里， 南北宽约13公里，总面积为483.3平方公里;全乡共有站、所、社、院25个，学校8所。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萨罕乡所辖一个巴达木示范基地，辖巴扎贝希村、尤库日塔格瓦孜村、托万塔格瓦孜村、尤库日兰干村、托万兰干村、吐格曼艾日克村、依坎库勒村、肖胡鲁克村、诺能阿依格村、阔坦村、阿恰勒村、赛喀甫村、喀合夏勒阔洪村、黑日甫库木村、铁热克阿勒迪村、艾山巴依艾日克村、阿克巴格村、托格日艾日克村、坎特艾日克村、夏甫阔罕村、阿日兰干村21个行政村，101个村民小组，总人口23100人，耕地面积36000亩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做好基层服务人员基本补助保障，共同为社会长治久安做出贡献。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本项目性质为持续性项目。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7" w:firstLineChars="200"/>
        <w:rPr>
          <w:rFonts w:hint="eastAsia"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项目用途及范围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按照补助标准，大学生村干部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基层服务人员补助项目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预算安排总额为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346.04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万元，其中财政资金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346.04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万元，自筹资金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万元，2018年实际收到预算资金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346.04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346.04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万元，预算执行率100.00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。项目资金主要用于支付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大学生村干部工资19.8万元，工作组补助83.84万元，安防队补助217.77万元，工作组</w:t>
      </w:r>
      <w:bookmarkStart w:id="0" w:name="_GoBack"/>
      <w:bookmarkEnd w:id="0"/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干部生活补贴24.63万元。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本项目支出符合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萨罕乡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该项目属于生活补助类项目 ,由本单位自行组织实施。实施过程均按照本单位制定的管理制度执行。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项目实施过程中，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由分管办公室领导负责监督，并按时收取签收单，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接受全民督促，并根据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萨罕乡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人民政府制定的《财务制度及管理办法》对项目的实施有有法可依，确保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签收单及时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齐全并及时归档。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3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8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，指标完成率为100.00%。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效率性：主要通过对比分析项目的实施进度和完成质量。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效益性：通过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服务基层人员补助项目资金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实施，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加强了干部工作积极性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通过对服务基层人员补助项目资金的发放，更加调动工作的积极性，在以后的工作中，严格做到按时发放。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pStyle w:val="33"/>
        <w:numPr>
          <w:ilvl w:val="0"/>
          <w:numId w:val="2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主要经验及做法</w:t>
      </w:r>
    </w:p>
    <w:p>
      <w:pPr>
        <w:pStyle w:val="33"/>
        <w:numPr>
          <w:ilvl w:val="0"/>
          <w:numId w:val="0"/>
        </w:numPr>
        <w:adjustRightInd w:val="0"/>
        <w:snapToGrid w:val="0"/>
        <w:spacing w:line="560" w:lineRule="exact"/>
        <w:ind w:left="624" w:leftChars="0"/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确保负责科室及时与财务室对接并做到人数、钱数心中有数，按时发放，足额发放。</w:t>
      </w:r>
    </w:p>
    <w:p>
      <w:pPr>
        <w:pStyle w:val="33"/>
        <w:numPr>
          <w:ilvl w:val="0"/>
          <w:numId w:val="2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存在的问题</w:t>
      </w:r>
    </w:p>
    <w:p>
      <w:pPr>
        <w:pStyle w:val="33"/>
        <w:numPr>
          <w:ilvl w:val="0"/>
          <w:numId w:val="0"/>
        </w:numPr>
        <w:adjustRightInd w:val="0"/>
        <w:snapToGrid w:val="0"/>
        <w:spacing w:line="560" w:lineRule="exact"/>
        <w:ind w:left="624" w:leftChars="0"/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各分管科室应与财务室对接，及时做好发放工作。</w:t>
      </w:r>
    </w:p>
    <w:p>
      <w:pPr>
        <w:pStyle w:val="33"/>
        <w:numPr>
          <w:ilvl w:val="0"/>
          <w:numId w:val="0"/>
        </w:numPr>
        <w:adjustRightInd w:val="0"/>
        <w:snapToGrid w:val="0"/>
        <w:spacing w:line="560" w:lineRule="exact"/>
        <w:ind w:left="624" w:leftChars="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无。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服务基层人员补助项目资金</w:t>
      </w:r>
      <w:r>
        <w:rPr>
          <w:rFonts w:hint="eastAsia" w:ascii="仿宋" w:hAnsi="仿宋" w:eastAsia="仿宋"/>
          <w:spacing w:val="-4"/>
          <w:sz w:val="32"/>
          <w:szCs w:val="32"/>
        </w:rPr>
        <w:t>的使用效率和效果，项目管理过程规范，是否完成了预期绩效目标等。同时，通过开展自我评价来总结经验和教训</w:t>
      </w:r>
      <w:r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  <w:t>，为我乡</w:t>
      </w:r>
      <w:r>
        <w:rPr>
          <w:rFonts w:hint="eastAsia" w:ascii="仿宋" w:hAnsi="仿宋" w:eastAsia="仿宋"/>
          <w:spacing w:val="-4"/>
          <w:sz w:val="32"/>
          <w:szCs w:val="32"/>
        </w:rPr>
        <w:t>今后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服务基层人员补助项目资金发放</w:t>
      </w:r>
      <w:r>
        <w:rPr>
          <w:rFonts w:hint="eastAsia" w:ascii="仿宋" w:hAnsi="仿宋" w:eastAsia="仿宋"/>
          <w:spacing w:val="-4"/>
          <w:sz w:val="32"/>
          <w:szCs w:val="32"/>
        </w:rPr>
        <w:t>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F286B"/>
    <w:multiLevelType w:val="multilevel"/>
    <w:tmpl w:val="19EF286B"/>
    <w:lvl w:ilvl="0" w:tentative="0">
      <w:start w:val="1"/>
      <w:numFmt w:val="decimal"/>
      <w:lvlText w:val="%1、"/>
      <w:lvlJc w:val="left"/>
      <w:pPr>
        <w:ind w:left="1344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64" w:hanging="420"/>
      </w:pPr>
    </w:lvl>
    <w:lvl w:ilvl="2" w:tentative="0">
      <w:start w:val="1"/>
      <w:numFmt w:val="lowerRoman"/>
      <w:lvlText w:val="%3."/>
      <w:lvlJc w:val="right"/>
      <w:pPr>
        <w:ind w:left="1884" w:hanging="420"/>
      </w:pPr>
    </w:lvl>
    <w:lvl w:ilvl="3" w:tentative="0">
      <w:start w:val="1"/>
      <w:numFmt w:val="decimal"/>
      <w:lvlText w:val="%4."/>
      <w:lvlJc w:val="left"/>
      <w:pPr>
        <w:ind w:left="2304" w:hanging="420"/>
      </w:pPr>
    </w:lvl>
    <w:lvl w:ilvl="4" w:tentative="0">
      <w:start w:val="1"/>
      <w:numFmt w:val="lowerLetter"/>
      <w:lvlText w:val="%5)"/>
      <w:lvlJc w:val="left"/>
      <w:pPr>
        <w:ind w:left="2724" w:hanging="420"/>
      </w:pPr>
    </w:lvl>
    <w:lvl w:ilvl="5" w:tentative="0">
      <w:start w:val="1"/>
      <w:numFmt w:val="lowerRoman"/>
      <w:lvlText w:val="%6."/>
      <w:lvlJc w:val="right"/>
      <w:pPr>
        <w:ind w:left="3144" w:hanging="420"/>
      </w:pPr>
    </w:lvl>
    <w:lvl w:ilvl="6" w:tentative="0">
      <w:start w:val="1"/>
      <w:numFmt w:val="decimal"/>
      <w:lvlText w:val="%7."/>
      <w:lvlJc w:val="left"/>
      <w:pPr>
        <w:ind w:left="3564" w:hanging="420"/>
      </w:pPr>
    </w:lvl>
    <w:lvl w:ilvl="7" w:tentative="0">
      <w:start w:val="1"/>
      <w:numFmt w:val="lowerLetter"/>
      <w:lvlText w:val="%8)"/>
      <w:lvlJc w:val="left"/>
      <w:pPr>
        <w:ind w:left="3984" w:hanging="420"/>
      </w:pPr>
    </w:lvl>
    <w:lvl w:ilvl="8" w:tentative="0">
      <w:start w:val="1"/>
      <w:numFmt w:val="lowerRoman"/>
      <w:lvlText w:val="%9."/>
      <w:lvlJc w:val="right"/>
      <w:pPr>
        <w:ind w:left="4404" w:hanging="420"/>
      </w:pPr>
    </w:lvl>
  </w:abstractNum>
  <w:abstractNum w:abstractNumId="1">
    <w:nsid w:val="24A179C8"/>
    <w:multiLevelType w:val="singleLevel"/>
    <w:tmpl w:val="24A179C8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244C725C"/>
    <w:rsid w:val="5BAD4323"/>
    <w:rsid w:val="61265EE3"/>
    <w:rsid w:val="6FB03FC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5"/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1</TotalTime>
  <ScaleCrop>false</ScaleCrop>
  <LinksUpToDate>false</LinksUpToDate>
  <CharactersWithSpaces>2449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2019-01-29T09:06:00Z</cp:lastPrinted>
  <dcterms:modified xsi:type="dcterms:W3CDTF">2019-09-16T11:28:05Z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